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0" w:right="479" w:bottom="70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Meadows Benjamin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Quanterix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QTRX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70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QUANTERIX CORPORATION</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900 MIDDLESEX TURNPIKE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BILLERICA 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01821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70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4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4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 Stock Unit</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12/31/2026</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70,223</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0.00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70,223</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0.00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22,959</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0.00</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10/06/2035</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76,234</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5.88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15, 2026, the reporting person was granted 70,223 Performance Stock Units, with each PSU award to vest (subject to the employee's continued service to the Company on the applicable vesting dates) according to the schedule and conditions set forth in the executive long-term incentive plan contained in the Company's 2026 Employee Equity Guidelines. After the award's performance conditions are satisfied, the PSUs will vest in four equal annual installments on each of the first four anniversaries of the grant date</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15, 2026, the reporting person was granted 70,223 restricted stock units, vesting 25% per year for four years.</w:t>
      </w:r>
    </w:p>
    <w:p>
      <w:pPr>
        <w:spacing w:after="0" w:line="52"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October 6, 2025, the reporting person was granted 22,959 restricted stock units, vesting 25% on the first anniversary of the grant date, with the remaining 75% vesting in 36 equal monthly installments on the 15th day of each month thereafter.</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October 6, 2025, the reporting person was granted 76,234 stock options vesting 25% on the first anniversary of the grant date, with the remaining 75% vesting in 36 equal monthly installments on the 15th day of each month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Meghan Shevlin,</w:t>
            </w:r>
          </w:p>
        </w:tc>
        <w:tc>
          <w:tcPr>
            <w:tcW w:w="6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70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Daniel Char, Michael Lanieri, Bonnie McManus, and Meghan Shevlin as the undersigned's true and lawful attorney-in-fact to:</w:t>
      </w:r>
    </w:p>
    <w:p>
      <w:pPr>
        <w:spacing w:after="0" w:line="87" w:lineRule="exact"/>
        <w:rPr>
          <w:sz w:val="20"/>
          <w:szCs w:val="20"/>
          <w:color w:val="auto"/>
        </w:rPr>
      </w:pPr>
    </w:p>
    <w:p>
      <w:pPr>
        <w:ind w:right="2259"/>
        <w:spacing w:after="0" w:line="294" w:lineRule="auto"/>
        <w:rPr>
          <w:sz w:val="20"/>
          <w:szCs w:val="20"/>
          <w:color w:val="auto"/>
        </w:rPr>
      </w:pPr>
      <w:r>
        <w:rPr>
          <w:rFonts w:ascii="Courier New" w:cs="Courier New" w:eastAsia="Courier New" w:hAnsi="Courier New"/>
          <w:sz w:val="18"/>
          <w:szCs w:val="18"/>
          <w:color w:val="auto"/>
        </w:rPr>
        <w:t>execute for and on behalf of the undersigned, in the undersigned's capacity as a beneficial owner of Quanterix Corporation (the "Company"), Forms 3, 4, and 5 in accordance with Section 16(a) of the Securities Exchange Act of 1934 and the rules thereunder and Schedules 13D and 13G in accordance with Section 13 of the Securities Exchange Act of 1934 and the rules thereunder;</w:t>
      </w:r>
    </w:p>
    <w:p>
      <w:pPr>
        <w:spacing w:after="0" w:line="77"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Schedules 13D or 13G, complete and execute any amendment or amendments thereto, and timely file such form with the U.S. Securities and Exchange Commission (the "SEC") and any securities exchange or similar authority; and</w:t>
      </w:r>
    </w:p>
    <w:p>
      <w:pPr>
        <w:spacing w:after="0" w:line="103"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had been in effect at the time such action was taken. The undersigned acknowledges that each foregoing attorney-in-fact, in serving in such capacity at the request of the undersigned, is not assuming, nor is the Company assuming, any of the undersigned's responsibilities to comply with Sections 13 and 16 of the Securities Exchange Act of 1934.</w:t>
      </w:r>
    </w:p>
    <w:p>
      <w:pPr>
        <w:spacing w:after="0" w:line="131" w:lineRule="exact"/>
        <w:rPr>
          <w:sz w:val="20"/>
          <w:szCs w:val="20"/>
          <w:color w:val="auto"/>
        </w:rPr>
      </w:pPr>
    </w:p>
    <w:p>
      <w:pPr>
        <w:ind w:right="237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and Schedules 13D and 13G with respect to the undersigned's holdings of and transactions in securities issued by the Company, unless earlier revoked by the undersigned in a signed writing delivered to each foregoing attorney-in-fact.</w:t>
      </w:r>
    </w:p>
    <w:p>
      <w:pPr>
        <w:spacing w:after="0" w:line="103"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February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Benjamin R. Meadows name: Benjamin Meadows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40394" TargetMode="External"/><Relationship Id="rId11" Type="http://schemas.openxmlformats.org/officeDocument/2006/relationships/hyperlink" Target="http://www.sec.gov/cgi-bin/browse-edgar?action=getcompany&amp;CIK=00015032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2026-06-12T16:45:52Z</dcterms:created>
  <dcterms:modified xsi:type="dcterms:W3CDTF">2026-06-12T16:45:52Z</dcterms:modified>
</cp:coreProperties>
</file>