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DONNELLY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162,401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2,802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17, 2023, the reporting person was granted 8,238 restricted stock units, vesting 33%, 33%, and 34% on the first, second, and third anniversaries of the grant date,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928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3375</Characters>
  <CharactersWithSpaces>3914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